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5AC3A6">
      <w:pPr>
        <w:pStyle w:val="81"/>
        <w:tabs>
          <w:tab w:val="right" w:pos="9639"/>
        </w:tabs>
        <w:spacing w:after="0"/>
        <w:rPr>
          <w:rFonts w:hint="default" w:eastAsiaTheme="minorEastAsia"/>
          <w:b/>
          <w:i/>
          <w:sz w:val="28"/>
          <w:lang w:val="en-US" w:eastAsia="zh-CN"/>
        </w:rPr>
      </w:pPr>
      <w:r>
        <w:rPr>
          <w:rFonts w:hint="eastAsia"/>
          <w:b/>
          <w:sz w:val="24"/>
        </w:rPr>
        <w:t>3GPP TSG-CT WG4 Meeting #133</w:t>
      </w:r>
      <w:r>
        <w:rPr>
          <w:b/>
          <w:i/>
          <w:sz w:val="28"/>
        </w:rPr>
        <w:tab/>
      </w:r>
      <w:r>
        <w:rPr>
          <w:b/>
          <w:sz w:val="24"/>
        </w:rPr>
        <w:t>C4-2</w:t>
      </w:r>
      <w:r>
        <w:rPr>
          <w:rFonts w:hint="eastAsia"/>
          <w:b/>
          <w:sz w:val="24"/>
          <w:lang w:val="en-US" w:eastAsia="zh-CN"/>
        </w:rPr>
        <w:t>60014</w:t>
      </w:r>
    </w:p>
    <w:p w14:paraId="03109173">
      <w:pPr>
        <w:pStyle w:val="34"/>
        <w:pBdr>
          <w:bottom w:val="single" w:color="auto" w:sz="4" w:space="1"/>
        </w:pBdr>
        <w:tabs>
          <w:tab w:val="right" w:pos="9638"/>
        </w:tabs>
        <w:overflowPunct w:val="0"/>
        <w:autoSpaceDE w:val="0"/>
        <w:autoSpaceDN w:val="0"/>
        <w:adjustRightInd w:val="0"/>
        <w:textAlignment w:val="baseline"/>
        <w:rPr>
          <w:rFonts w:cs="Arial"/>
          <w:b w:val="0"/>
          <w:sz w:val="20"/>
          <w:lang w:eastAsia="zh-CN"/>
        </w:rPr>
      </w:pPr>
      <w:r>
        <w:rPr>
          <w:rFonts w:hint="eastAsia"/>
          <w:sz w:val="24"/>
        </w:rPr>
        <w:t>Goa, India; 9 – 13 February 2026</w:t>
      </w:r>
      <w:r>
        <w:tab/>
      </w:r>
      <w:r>
        <w:rPr>
          <w:rFonts w:eastAsia="Batang" w:cs="Arial"/>
          <w:lang w:eastAsia="zh-CN"/>
        </w:rPr>
        <w:t>(revision of xx-yyxxxx)</w:t>
      </w:r>
    </w:p>
    <w:p w14:paraId="150746FC">
      <w:pPr>
        <w:pStyle w:val="81"/>
        <w:outlineLvl w:val="0"/>
        <w:rPr>
          <w:b/>
          <w:sz w:val="24"/>
          <w:lang w:eastAsia="zh-CN"/>
        </w:rPr>
      </w:pPr>
    </w:p>
    <w:p w14:paraId="533AFB0D">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Unicom</w:t>
      </w:r>
    </w:p>
    <w:p w14:paraId="18BE02D5">
      <w:pPr>
        <w:spacing w:after="120"/>
        <w:ind w:left="1985" w:hanging="1985"/>
        <w:rPr>
          <w:rFonts w:hint="default" w:ascii="Arial" w:hAnsi="Arial" w:cs="Arial" w:eastAsiaTheme="minorEastAsia"/>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Discussion on New WID on CT Aspects of TEI</w:t>
      </w:r>
      <w:r>
        <w:rPr>
          <w:rFonts w:hint="eastAsia" w:ascii="Arial" w:hAnsi="Arial" w:cs="Arial"/>
          <w:b/>
          <w:bCs/>
          <w:lang w:val="en-US" w:eastAsia="zh-CN"/>
        </w:rPr>
        <w:t>20_NetShare_ph2</w:t>
      </w:r>
    </w:p>
    <w:p w14:paraId="4ED68054">
      <w:pPr>
        <w:spacing w:after="120"/>
        <w:ind w:left="1985" w:hanging="1985"/>
        <w:rPr>
          <w:rFonts w:hint="default" w:ascii="Arial" w:hAnsi="Arial"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20.2.1</w:t>
      </w:r>
    </w:p>
    <w:p w14:paraId="1606091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Discussion</w:t>
      </w:r>
    </w:p>
    <w:p w14:paraId="00973A0F">
      <w:pPr>
        <w:pBdr>
          <w:bottom w:val="single" w:color="auto" w:sz="12" w:space="1"/>
        </w:pBdr>
        <w:spacing w:after="120"/>
        <w:ind w:left="1985" w:hanging="1985"/>
        <w:rPr>
          <w:rFonts w:ascii="Arial" w:hAnsi="Arial" w:cs="Arial"/>
          <w:b/>
          <w:bCs/>
          <w:lang w:val="en-US"/>
        </w:rPr>
      </w:pPr>
    </w:p>
    <w:p w14:paraId="449AF33E">
      <w:pPr>
        <w:pStyle w:val="81"/>
        <w:rPr>
          <w:b/>
          <w:lang w:val="en-US"/>
        </w:rPr>
      </w:pPr>
      <w:r>
        <w:rPr>
          <w:b/>
          <w:lang w:val="en-US"/>
        </w:rPr>
        <w:t>1. Introduction</w:t>
      </w:r>
    </w:p>
    <w:p w14:paraId="76DD48EA">
      <w:bookmarkStart w:id="0" w:name="_Hlk172296955"/>
      <w:r>
        <w:rPr>
          <w:rFonts w:hint="eastAsia"/>
          <w:lang w:val="en-US"/>
        </w:rPr>
        <w:t>SA#108 has agreed New 3GPP Rel-20 WID on Indirect Network Sharing Phase2 (TEI20_NetShare_Ph2-ARC, UI: 1080059), see SP -250838</w:t>
      </w:r>
      <w:r>
        <w:rPr>
          <w:lang w:val="en-US"/>
        </w:rPr>
        <w:t>.</w:t>
      </w:r>
    </w:p>
    <w:p w14:paraId="289ED4A2">
      <w:pPr>
        <w:spacing w:after="120" w:afterLines="50"/>
        <w:jc w:val="both"/>
        <w:rPr>
          <w:lang w:eastAsia="zh-CN"/>
        </w:rPr>
      </w:pPr>
      <w:r>
        <w:rPr>
          <w:rFonts w:hint="eastAsia"/>
          <w:lang w:eastAsia="zh-CN"/>
        </w:rPr>
        <w:t>In SA WG2, the Indirect Network Sharing mechanism has been enhanced to enable the NFs of the participating operator’s network to detect the Indirect Network Sharing case and identify the specific hosting operator’s network and the Indirect Network Sharing for Disaster Condition has been specified as well</w:t>
      </w:r>
      <w:r>
        <w:rPr>
          <w:lang w:eastAsia="zh-CN"/>
        </w:rPr>
        <w:t>.</w:t>
      </w:r>
      <w:r>
        <w:t xml:space="preserve"> </w:t>
      </w:r>
    </w:p>
    <w:bookmarkEnd w:id="0"/>
    <w:p w14:paraId="7050157A">
      <w:r>
        <w:t xml:space="preserve">The detailed </w:t>
      </w:r>
      <w:r>
        <w:rPr>
          <w:rFonts w:hint="eastAsia"/>
          <w:lang w:eastAsia="zh-CN"/>
        </w:rPr>
        <w:t>normative work</w:t>
      </w:r>
      <w:r>
        <w:t xml:space="preserve"> </w:t>
      </w:r>
      <w:r>
        <w:rPr>
          <w:rFonts w:hint="eastAsia"/>
          <w:lang w:eastAsia="zh-CN"/>
        </w:rPr>
        <w:t xml:space="preserve">in SA2 </w:t>
      </w:r>
      <w:r>
        <w:rPr>
          <w:rFonts w:hint="eastAsia"/>
          <w:lang w:val="en-US" w:eastAsia="zh-CN"/>
        </w:rPr>
        <w:t>has been specified from two aspects</w:t>
      </w:r>
      <w:r>
        <w:t>:</w:t>
      </w:r>
    </w:p>
    <w:p w14:paraId="29835506">
      <w:pPr>
        <w:numPr>
          <w:ilvl w:val="0"/>
          <w:numId w:val="1"/>
        </w:numPr>
        <w:rPr>
          <w:lang w:val="en-US"/>
        </w:rPr>
      </w:pPr>
      <w:r>
        <w:rPr>
          <w:rFonts w:hint="eastAsia"/>
          <w:lang w:val="en-US" w:eastAsia="zh-CN"/>
        </w:rPr>
        <w:t xml:space="preserve">WT#1: </w:t>
      </w:r>
      <w:r>
        <w:rPr>
          <w:rFonts w:hint="eastAsia"/>
          <w:lang w:val="en-US"/>
        </w:rPr>
        <w:t>For Indirect Network Sharing, in order to enable the NFs of the participating operator’s network (e.g. UDM, SMF, PCF for the PDU session) to detect the Indirect Network Sharing case and identify the specific hosting operator’s network</w:t>
      </w:r>
      <w:r>
        <w:rPr>
          <w:rFonts w:hint="eastAsia"/>
          <w:lang w:val="en-US" w:eastAsia="zh-CN"/>
        </w:rPr>
        <w:t xml:space="preserve"> during the registration procedure, PDU session related procedures and mobility procedures</w:t>
      </w:r>
      <w:r>
        <w:rPr>
          <w:rFonts w:hint="eastAsia"/>
          <w:lang w:val="en-US"/>
        </w:rPr>
        <w:t>, the corresponding service operation messages sent to the NFs of the participating operator’s network include the PLMN ID of the hosting operator and the serving PLMN ID.</w:t>
      </w:r>
    </w:p>
    <w:p w14:paraId="2165830B">
      <w:pPr>
        <w:numPr>
          <w:ilvl w:val="0"/>
          <w:numId w:val="1"/>
        </w:numPr>
        <w:rPr>
          <w:lang w:val="en-US"/>
        </w:rPr>
      </w:pPr>
      <w:r>
        <w:rPr>
          <w:rFonts w:hint="eastAsia"/>
          <w:lang w:val="en-US" w:eastAsia="zh-CN"/>
        </w:rPr>
        <w:t>WT#2: In the case of Indirect Network Sharing for Disaster Condition, when the UEs of the participating operator access to the network via the Indirect Network Sharing for Disaster Condition, comparing to the normal Indirect Network Sharing case, the Disaster Roaming service indication is sent from the hosting operator</w:t>
      </w:r>
      <w:r>
        <w:rPr>
          <w:rFonts w:hint="default"/>
          <w:lang w:val="en-US" w:eastAsia="zh-CN"/>
        </w:rPr>
        <w:t>’</w:t>
      </w:r>
      <w:r>
        <w:rPr>
          <w:rFonts w:hint="eastAsia"/>
          <w:lang w:val="en-US" w:eastAsia="zh-CN"/>
        </w:rPr>
        <w:t>s network to the participating operator</w:t>
      </w:r>
      <w:r>
        <w:rPr>
          <w:rFonts w:hint="default"/>
          <w:lang w:val="en-US" w:eastAsia="zh-CN"/>
        </w:rPr>
        <w:t>’</w:t>
      </w:r>
      <w:r>
        <w:rPr>
          <w:rFonts w:hint="eastAsia"/>
          <w:lang w:val="en-US" w:eastAsia="zh-CN"/>
        </w:rPr>
        <w:t>s network during the registration procedure, PDU session related procedures and mobility procedures. The NFs of the participating operator network are able to identify which UE(s) are using the Indirect Network Sharing for Disaster Condition based on the Disaster Roaming service indication and the PLMN ID of the hosting operator. The Disaster Roaming service indication is specified in the clause 5.40.4 of TS 23.501.</w:t>
      </w:r>
    </w:p>
    <w:p w14:paraId="4A97E58B">
      <w:bookmarkStart w:id="1" w:name="_Hlk172296970"/>
      <w:r>
        <w:rPr>
          <w:rFonts w:hint="eastAsia"/>
          <w:lang w:eastAsia="zh-CN"/>
        </w:rPr>
        <w:t>This</w:t>
      </w:r>
      <w:r>
        <w:t xml:space="preserve"> work </w:t>
      </w:r>
      <w:r>
        <w:rPr>
          <w:rFonts w:hint="eastAsia"/>
          <w:lang w:eastAsia="zh-CN"/>
        </w:rPr>
        <w:t xml:space="preserve">has </w:t>
      </w:r>
      <w:r>
        <w:t>impact</w:t>
      </w:r>
      <w:r>
        <w:rPr>
          <w:rFonts w:hint="eastAsia"/>
          <w:lang w:eastAsia="zh-CN"/>
        </w:rPr>
        <w:t>ed to</w:t>
      </w:r>
      <w:r>
        <w:t xml:space="preserve"> TS 23.501</w:t>
      </w:r>
      <w:r>
        <w:rPr>
          <w:rFonts w:hint="eastAsia"/>
          <w:lang w:val="en-US" w:eastAsia="zh-CN"/>
        </w:rPr>
        <w:t xml:space="preserve">, </w:t>
      </w:r>
      <w:r>
        <w:t>TS 23.502</w:t>
      </w:r>
      <w:r>
        <w:rPr>
          <w:rFonts w:hint="eastAsia"/>
          <w:lang w:val="en-US" w:eastAsia="zh-CN"/>
        </w:rPr>
        <w:t xml:space="preserve"> and TS 23.503</w:t>
      </w:r>
      <w:r>
        <w:t>.</w:t>
      </w:r>
    </w:p>
    <w:p w14:paraId="123ED1EB">
      <w:pPr>
        <w:rPr>
          <w:lang w:val="en-US" w:eastAsia="zh-CN"/>
        </w:rPr>
      </w:pPr>
      <w:r>
        <w:rPr>
          <w:rFonts w:hint="eastAsia"/>
          <w:lang w:eastAsia="zh-CN"/>
        </w:rPr>
        <w:t>SA#110 has approved related CRs on TS 23.501, TS 23.502 and TS 23.503 as stage 2 normative works. And the TEI20 WI has been completed after SA#110</w:t>
      </w:r>
      <w:r>
        <w:rPr>
          <w:rFonts w:hint="eastAsia"/>
          <w:lang w:val="en-US" w:eastAsia="zh-CN"/>
        </w:rPr>
        <w:t>.</w:t>
      </w:r>
    </w:p>
    <w:bookmarkEnd w:id="1"/>
    <w:p w14:paraId="61FF90AD"/>
    <w:p w14:paraId="19CD6D61">
      <w:pPr>
        <w:pStyle w:val="81"/>
        <w:rPr>
          <w:b/>
          <w:lang w:val="en-US"/>
        </w:rPr>
      </w:pPr>
      <w:r>
        <w:rPr>
          <w:b/>
          <w:lang w:val="en-US"/>
        </w:rPr>
        <w:t>2. CT implications</w:t>
      </w:r>
    </w:p>
    <w:p w14:paraId="6B618201">
      <w:pPr>
        <w:pStyle w:val="81"/>
        <w:rPr>
          <w:rFonts w:ascii="Times New Roman" w:hAnsi="Times New Roman"/>
          <w:lang w:val="en-US"/>
        </w:rPr>
      </w:pPr>
      <w:r>
        <w:rPr>
          <w:rFonts w:ascii="Times New Roman" w:hAnsi="Times New Roman"/>
          <w:lang w:val="en-US"/>
        </w:rPr>
        <w:t>Based on the Stage 2 WID and a</w:t>
      </w:r>
      <w:r>
        <w:rPr>
          <w:rFonts w:hint="eastAsia" w:ascii="Times New Roman" w:hAnsi="Times New Roman"/>
          <w:lang w:val="en-US" w:eastAsia="zh-CN"/>
        </w:rPr>
        <w:t>pproved</w:t>
      </w:r>
      <w:r>
        <w:rPr>
          <w:rFonts w:ascii="Times New Roman" w:hAnsi="Times New Roman"/>
          <w:lang w:val="en-US"/>
        </w:rPr>
        <w:t xml:space="preserve"> CRs, below is an outline of implications on CT specifications.</w:t>
      </w:r>
    </w:p>
    <w:p w14:paraId="5E990D3A">
      <w:pPr>
        <w:pStyle w:val="81"/>
        <w:rPr>
          <w:rFonts w:ascii="Times New Roman" w:hAnsi="Times New Roman"/>
          <w:lang w:val="en-US" w:eastAsia="zh-CN"/>
        </w:rPr>
      </w:pPr>
    </w:p>
    <w:p w14:paraId="7E762408">
      <w:pPr>
        <w:pStyle w:val="81"/>
        <w:rPr>
          <w:rFonts w:ascii="Times New Roman" w:hAnsi="Times New Roman"/>
          <w:u w:val="single"/>
          <w:lang w:val="en-US" w:eastAsia="zh-CN"/>
        </w:rPr>
      </w:pPr>
      <w:r>
        <w:rPr>
          <w:rFonts w:hint="eastAsia" w:ascii="Times New Roman" w:hAnsi="Times New Roman"/>
          <w:u w:val="single"/>
          <w:lang w:val="en-US" w:eastAsia="zh-CN"/>
        </w:rPr>
        <w:t>CT3 Impacts:</w:t>
      </w:r>
    </w:p>
    <w:p w14:paraId="571618FD">
      <w:pPr>
        <w:pStyle w:val="81"/>
        <w:numPr>
          <w:ilvl w:val="0"/>
          <w:numId w:val="1"/>
        </w:numPr>
        <w:rPr>
          <w:rFonts w:ascii="Times New Roman" w:hAnsi="Times New Roman"/>
          <w:lang w:val="en-US"/>
        </w:rPr>
      </w:pPr>
      <w:r>
        <w:rPr>
          <w:rFonts w:hint="eastAsia" w:ascii="Times New Roman" w:hAnsi="Times New Roman"/>
          <w:b/>
          <w:bCs/>
          <w:lang w:val="en-US" w:eastAsia="zh-CN"/>
        </w:rPr>
        <w:t>PCF</w:t>
      </w:r>
      <w:r>
        <w:rPr>
          <w:rFonts w:ascii="Times New Roman" w:hAnsi="Times New Roman"/>
          <w:b/>
          <w:bCs/>
          <w:lang w:val="en-US"/>
        </w:rPr>
        <w:t xml:space="preserve"> interface</w:t>
      </w:r>
      <w:r>
        <w:rPr>
          <w:rFonts w:ascii="Times New Roman" w:hAnsi="Times New Roman"/>
          <w:lang w:val="en-US"/>
        </w:rPr>
        <w:t xml:space="preserve">: </w:t>
      </w:r>
    </w:p>
    <w:p w14:paraId="6ABF116B">
      <w:pPr>
        <w:pStyle w:val="81"/>
        <w:numPr>
          <w:ilvl w:val="1"/>
          <w:numId w:val="1"/>
        </w:numPr>
        <w:rPr>
          <w:rFonts w:ascii="Times New Roman" w:hAnsi="Times New Roman"/>
          <w:lang w:val="en-US"/>
        </w:rPr>
      </w:pPr>
      <w:r>
        <w:rPr>
          <w:rFonts w:hint="eastAsia" w:ascii="Times New Roman" w:hAnsi="Times New Roman"/>
          <w:lang w:val="en-US" w:eastAsia="zh-CN"/>
        </w:rPr>
        <w:t xml:space="preserve">Clarify the serving PLMN ID used in the </w:t>
      </w:r>
      <w:r>
        <w:rPr>
          <w:rFonts w:ascii="Times New Roman" w:hAnsi="Times New Roman"/>
          <w:lang w:val="en-US" w:eastAsia="zh-CN"/>
        </w:rPr>
        <w:t>Npcf_</w:t>
      </w:r>
      <w:r>
        <w:rPr>
          <w:rFonts w:hint="eastAsia" w:ascii="Times New Roman" w:hAnsi="Times New Roman"/>
          <w:lang w:val="en-US" w:eastAsia="zh-CN"/>
        </w:rPr>
        <w:t>SM</w:t>
      </w:r>
      <w:r>
        <w:rPr>
          <w:rFonts w:ascii="Times New Roman" w:hAnsi="Times New Roman"/>
          <w:lang w:val="en-US" w:eastAsia="zh-CN"/>
        </w:rPr>
        <w:t>PolicyControl</w:t>
      </w:r>
      <w:r>
        <w:rPr>
          <w:rFonts w:hint="eastAsia" w:ascii="Times New Roman" w:hAnsi="Times New Roman"/>
          <w:lang w:val="en-US" w:eastAsia="zh-CN"/>
        </w:rPr>
        <w:t xml:space="preserve"> Service in the case of Indirect Network Sharing. Because the serving PLMN ID received by H-SMF is set to the selected PLMN ID, the H-SMF will includes the parameters to request the SM policies.</w:t>
      </w:r>
    </w:p>
    <w:p w14:paraId="187A4832">
      <w:pPr>
        <w:pStyle w:val="81"/>
        <w:numPr>
          <w:ilvl w:val="1"/>
          <w:numId w:val="1"/>
        </w:numPr>
        <w:rPr>
          <w:rFonts w:ascii="Times New Roman" w:hAnsi="Times New Roman"/>
          <w:lang w:val="en-US"/>
        </w:rPr>
      </w:pPr>
      <w:r>
        <w:rPr>
          <w:rFonts w:hint="eastAsia" w:ascii="Times New Roman" w:hAnsi="Times New Roman"/>
          <w:lang w:val="en-US" w:eastAsia="zh-CN"/>
        </w:rPr>
        <w:t xml:space="preserve">Add the new parameter </w:t>
      </w:r>
      <w:r>
        <w:rPr>
          <w:rFonts w:hint="default" w:ascii="Times New Roman" w:hAnsi="Times New Roman"/>
          <w:lang w:val="en-US" w:eastAsia="zh-CN"/>
        </w:rPr>
        <w:t>“</w:t>
      </w:r>
      <w:r>
        <w:rPr>
          <w:rFonts w:hint="eastAsia" w:ascii="Times New Roman" w:hAnsi="Times New Roman"/>
          <w:lang w:val="en-US" w:eastAsia="zh-CN"/>
        </w:rPr>
        <w:t>the PLMN ID of the hosting operator</w:t>
      </w:r>
      <w:r>
        <w:rPr>
          <w:rFonts w:hint="default" w:ascii="Times New Roman" w:hAnsi="Times New Roman"/>
          <w:lang w:val="en-US" w:eastAsia="zh-CN"/>
        </w:rPr>
        <w:t>”</w:t>
      </w:r>
      <w:r>
        <w:rPr>
          <w:rFonts w:hint="eastAsia" w:ascii="Times New Roman" w:hAnsi="Times New Roman"/>
          <w:lang w:val="en-US" w:eastAsia="zh-CN"/>
        </w:rPr>
        <w:t xml:space="preserve"> in the Npcf_SMPolicyControl Service. H-PCF will be able to detect the Indirect Network Sharing case and identify the specific hosting operator’s network based on this parameter. </w:t>
      </w:r>
    </w:p>
    <w:p w14:paraId="3D1D959A">
      <w:pPr>
        <w:pStyle w:val="81"/>
        <w:numPr>
          <w:ilvl w:val="1"/>
          <w:numId w:val="1"/>
        </w:numPr>
        <w:rPr>
          <w:rFonts w:ascii="Times New Roman" w:hAnsi="Times New Roman"/>
          <w:lang w:val="en-US"/>
        </w:rPr>
      </w:pPr>
      <w:r>
        <w:rPr>
          <w:rFonts w:hint="eastAsia" w:ascii="Times New Roman" w:hAnsi="Times New Roman"/>
          <w:lang w:val="en-US" w:eastAsia="zh-CN"/>
        </w:rPr>
        <w:t xml:space="preserve">Update the description of the value </w:t>
      </w:r>
      <w:r>
        <w:rPr>
          <w:rFonts w:hint="default" w:ascii="Times New Roman" w:hAnsi="Times New Roman"/>
          <w:lang w:val="en-US" w:eastAsia="zh-CN"/>
        </w:rPr>
        <w:t>“PLMN_CH”</w:t>
      </w:r>
      <w:r>
        <w:rPr>
          <w:rFonts w:hint="eastAsia" w:ascii="Times New Roman" w:hAnsi="Times New Roman"/>
          <w:lang w:val="en-US" w:eastAsia="zh-CN"/>
        </w:rPr>
        <w:t xml:space="preserve"> in the PCRT relevant for SMF. When the PLMN change trigger is armed by the PCF, in the case of Indirect Network Sharing, H-SMF reports the serving PLMN ID and the received PLMN ID of the hosting operator or reports only serving PLMN ID if no PLMN ID of the hosting operator is received during the UE mobility between home network and hosting operator’s network or between the different hosting operators’ networks.</w:t>
      </w:r>
    </w:p>
    <w:p w14:paraId="014C216F">
      <w:pPr>
        <w:pStyle w:val="81"/>
        <w:rPr>
          <w:rFonts w:ascii="Times New Roman" w:hAnsi="Times New Roman"/>
          <w:lang w:val="en-US" w:eastAsia="zh-CN"/>
        </w:rPr>
      </w:pPr>
    </w:p>
    <w:p w14:paraId="1E0F5848">
      <w:pPr>
        <w:pStyle w:val="81"/>
        <w:rPr>
          <w:rFonts w:ascii="Times New Roman" w:hAnsi="Times New Roman"/>
          <w:u w:val="single"/>
          <w:lang w:val="en-US"/>
        </w:rPr>
      </w:pPr>
      <w:bookmarkStart w:id="2" w:name="_Hlk172297032"/>
      <w:r>
        <w:rPr>
          <w:rFonts w:ascii="Times New Roman" w:hAnsi="Times New Roman"/>
          <w:u w:val="single"/>
          <w:lang w:val="en-US"/>
        </w:rPr>
        <w:t>CT4 Impacts:</w:t>
      </w:r>
    </w:p>
    <w:p w14:paraId="4DBA799A">
      <w:pPr>
        <w:pStyle w:val="81"/>
        <w:numPr>
          <w:ilvl w:val="0"/>
          <w:numId w:val="1"/>
        </w:numPr>
        <w:rPr>
          <w:rFonts w:ascii="Times New Roman" w:hAnsi="Times New Roman"/>
          <w:lang w:val="en-US"/>
        </w:rPr>
      </w:pPr>
      <w:r>
        <w:rPr>
          <w:rFonts w:hint="eastAsia" w:ascii="Times New Roman" w:hAnsi="Times New Roman"/>
          <w:b/>
          <w:bCs/>
          <w:lang w:val="en-US" w:eastAsia="zh-CN"/>
        </w:rPr>
        <w:t>SMF</w:t>
      </w:r>
      <w:r>
        <w:rPr>
          <w:rFonts w:ascii="Times New Roman" w:hAnsi="Times New Roman"/>
          <w:b/>
          <w:bCs/>
          <w:lang w:val="en-US"/>
        </w:rPr>
        <w:t xml:space="preserve"> interface</w:t>
      </w:r>
      <w:r>
        <w:rPr>
          <w:rFonts w:ascii="Times New Roman" w:hAnsi="Times New Roman"/>
          <w:lang w:val="en-US"/>
        </w:rPr>
        <w:t xml:space="preserve">: </w:t>
      </w:r>
    </w:p>
    <w:p w14:paraId="05D7F2AC">
      <w:pPr>
        <w:pStyle w:val="81"/>
        <w:numPr>
          <w:ilvl w:val="1"/>
          <w:numId w:val="1"/>
        </w:numPr>
        <w:rPr>
          <w:rFonts w:ascii="Times New Roman" w:hAnsi="Times New Roman"/>
          <w:lang w:val="en-US" w:eastAsia="zh-CN"/>
        </w:rPr>
      </w:pPr>
      <w:bookmarkStart w:id="3" w:name="_Hlk172297695"/>
      <w:r>
        <w:rPr>
          <w:rFonts w:hint="eastAsia" w:ascii="Times New Roman" w:hAnsi="Times New Roman"/>
          <w:lang w:val="en-US" w:eastAsia="zh-CN"/>
        </w:rPr>
        <w:t xml:space="preserve">Add the new parameter </w:t>
      </w:r>
      <w:r>
        <w:rPr>
          <w:rFonts w:hint="default" w:ascii="Times New Roman" w:hAnsi="Times New Roman"/>
          <w:lang w:val="en-US" w:eastAsia="zh-CN"/>
        </w:rPr>
        <w:t>“</w:t>
      </w:r>
      <w:r>
        <w:rPr>
          <w:rFonts w:hint="eastAsia" w:ascii="Times New Roman" w:hAnsi="Times New Roman"/>
          <w:lang w:val="en-US" w:eastAsia="zh-CN"/>
        </w:rPr>
        <w:t>the PLMN ID of the hosting operator</w:t>
      </w:r>
      <w:r>
        <w:rPr>
          <w:rFonts w:hint="default" w:ascii="Times New Roman" w:hAnsi="Times New Roman"/>
          <w:lang w:val="en-US" w:eastAsia="zh-CN"/>
        </w:rPr>
        <w:t>”</w:t>
      </w:r>
      <w:r>
        <w:rPr>
          <w:rFonts w:hint="eastAsia" w:ascii="Times New Roman" w:hAnsi="Times New Roman"/>
          <w:lang w:val="en-US" w:eastAsia="zh-CN"/>
        </w:rPr>
        <w:t xml:space="preserve"> in the </w:t>
      </w:r>
      <w:r>
        <w:rPr>
          <w:rFonts w:ascii="Times New Roman" w:hAnsi="Times New Roman"/>
          <w:lang w:val="en-US" w:eastAsia="zh-CN"/>
        </w:rPr>
        <w:t>Nsmf_PDUSession</w:t>
      </w:r>
      <w:r>
        <w:rPr>
          <w:rFonts w:hint="eastAsia" w:ascii="Times New Roman" w:hAnsi="Times New Roman"/>
          <w:lang w:val="en-US" w:eastAsia="zh-CN"/>
        </w:rPr>
        <w:t xml:space="preserve"> Service. H-SMF will detect the Indirect Network Sharing case and identify the specific hosting operator’s network based on this parameter. </w:t>
      </w:r>
    </w:p>
    <w:p w14:paraId="11896D58">
      <w:pPr>
        <w:pStyle w:val="81"/>
        <w:numPr>
          <w:ilvl w:val="1"/>
          <w:numId w:val="1"/>
        </w:numPr>
        <w:rPr>
          <w:rFonts w:ascii="Times New Roman" w:hAnsi="Times New Roman"/>
          <w:lang w:val="en-US" w:eastAsia="zh-CN"/>
        </w:rPr>
      </w:pPr>
      <w:r>
        <w:rPr>
          <w:rFonts w:hint="eastAsia" w:ascii="Times New Roman" w:hAnsi="Times New Roman"/>
          <w:lang w:val="en-US" w:eastAsia="zh-CN"/>
        </w:rPr>
        <w:t xml:space="preserve">Update the description of the parameter </w:t>
      </w:r>
      <w:r>
        <w:rPr>
          <w:rFonts w:hint="default" w:ascii="Times New Roman" w:hAnsi="Times New Roman"/>
          <w:lang w:val="en-US" w:eastAsia="zh-CN"/>
        </w:rPr>
        <w:t>“disasterRoamingInd”</w:t>
      </w:r>
      <w:r>
        <w:rPr>
          <w:rFonts w:hint="eastAsia" w:ascii="Times New Roman" w:hAnsi="Times New Roman"/>
          <w:lang w:val="en-US" w:eastAsia="zh-CN"/>
        </w:rPr>
        <w:t xml:space="preserve"> in the </w:t>
      </w:r>
      <w:r>
        <w:rPr>
          <w:rFonts w:ascii="Times New Roman" w:hAnsi="Times New Roman"/>
          <w:lang w:val="en-US" w:eastAsia="zh-CN"/>
        </w:rPr>
        <w:t>Nsmf_PDUSession</w:t>
      </w:r>
      <w:r>
        <w:rPr>
          <w:rFonts w:hint="eastAsia" w:ascii="Times New Roman" w:hAnsi="Times New Roman"/>
          <w:lang w:val="en-US" w:eastAsia="zh-CN"/>
        </w:rPr>
        <w:t xml:space="preserve"> Service considering the Indirect Network Sharing for Disaster Condition. Because the existing parameter </w:t>
      </w:r>
      <w:r>
        <w:rPr>
          <w:rFonts w:hint="default" w:ascii="Times New Roman" w:hAnsi="Times New Roman"/>
          <w:lang w:val="en-US" w:eastAsia="zh-CN"/>
        </w:rPr>
        <w:t>“disasterRoamingInd”</w:t>
      </w:r>
      <w:r>
        <w:rPr>
          <w:rFonts w:hint="eastAsia" w:ascii="Times New Roman" w:hAnsi="Times New Roman"/>
          <w:lang w:val="en-US" w:eastAsia="zh-CN"/>
        </w:rPr>
        <w:t xml:space="preserve"> was reused, the description of this parameter should be updated to include the case of Indirect Network Sharing for Disaster Condition, and H-SMF is able to identify which UE(s) are using the Indirect Network Sharing for Disaster Condition based on the Disaster Roaming service indication and the PLMN ID of the hosting operator.</w:t>
      </w:r>
    </w:p>
    <w:bookmarkEnd w:id="3"/>
    <w:p w14:paraId="54A5AE06">
      <w:pPr>
        <w:pStyle w:val="81"/>
        <w:numPr>
          <w:ilvl w:val="0"/>
          <w:numId w:val="1"/>
        </w:numPr>
        <w:rPr>
          <w:rFonts w:ascii="Times New Roman" w:hAnsi="Times New Roman"/>
          <w:lang w:val="en-US"/>
        </w:rPr>
      </w:pPr>
      <w:r>
        <w:rPr>
          <w:rFonts w:hint="eastAsia" w:ascii="Times New Roman" w:hAnsi="Times New Roman"/>
          <w:b/>
          <w:bCs/>
          <w:lang w:val="en-US" w:eastAsia="zh-CN"/>
        </w:rPr>
        <w:t>UDM</w:t>
      </w:r>
      <w:r>
        <w:rPr>
          <w:rFonts w:ascii="Times New Roman" w:hAnsi="Times New Roman"/>
          <w:b/>
          <w:bCs/>
          <w:lang w:val="en-US"/>
        </w:rPr>
        <w:t xml:space="preserve"> interface</w:t>
      </w:r>
      <w:r>
        <w:rPr>
          <w:rFonts w:ascii="Times New Roman" w:hAnsi="Times New Roman"/>
          <w:lang w:val="en-US"/>
        </w:rPr>
        <w:t>:</w:t>
      </w:r>
      <w:r>
        <w:t xml:space="preserve"> </w:t>
      </w:r>
    </w:p>
    <w:p w14:paraId="28F3428B">
      <w:pPr>
        <w:pStyle w:val="81"/>
        <w:numPr>
          <w:ilvl w:val="1"/>
          <w:numId w:val="1"/>
        </w:numPr>
        <w:rPr>
          <w:rFonts w:ascii="Times New Roman" w:hAnsi="Times New Roman"/>
          <w:lang w:val="en-US"/>
        </w:rPr>
      </w:pPr>
      <w:r>
        <w:rPr>
          <w:rFonts w:hint="eastAsia" w:ascii="Times New Roman" w:hAnsi="Times New Roman"/>
          <w:lang w:val="en-US" w:eastAsia="zh-CN"/>
        </w:rPr>
        <w:t xml:space="preserve">Add the new parameter </w:t>
      </w:r>
      <w:r>
        <w:rPr>
          <w:rFonts w:hint="default" w:ascii="Times New Roman" w:hAnsi="Times New Roman"/>
          <w:lang w:val="en-US" w:eastAsia="zh-CN"/>
        </w:rPr>
        <w:t>“</w:t>
      </w:r>
      <w:r>
        <w:rPr>
          <w:rFonts w:hint="eastAsia" w:ascii="Times New Roman" w:hAnsi="Times New Roman"/>
          <w:lang w:val="en-US" w:eastAsia="zh-CN"/>
        </w:rPr>
        <w:t>the PLMN ID of the hosting operator</w:t>
      </w:r>
      <w:r>
        <w:rPr>
          <w:rFonts w:hint="default" w:ascii="Times New Roman" w:hAnsi="Times New Roman"/>
          <w:lang w:val="en-US" w:eastAsia="zh-CN"/>
        </w:rPr>
        <w:t>”</w:t>
      </w:r>
      <w:r>
        <w:rPr>
          <w:rFonts w:hint="eastAsia" w:ascii="Times New Roman" w:hAnsi="Times New Roman"/>
          <w:lang w:val="en-US" w:eastAsia="zh-CN"/>
        </w:rPr>
        <w:t xml:space="preserve"> </w:t>
      </w:r>
      <w:r>
        <w:rPr>
          <w:rFonts w:ascii="Times New Roman" w:hAnsi="Times New Roman"/>
          <w:lang w:val="en-US" w:eastAsia="zh-CN"/>
        </w:rPr>
        <w:t xml:space="preserve">in </w:t>
      </w:r>
      <w:r>
        <w:rPr>
          <w:rFonts w:hint="eastAsia" w:ascii="Times New Roman" w:hAnsi="Times New Roman"/>
          <w:lang w:val="en-US" w:eastAsia="zh-CN"/>
        </w:rPr>
        <w:t>the Nudm_SubscriberDataManagement Service. UDM will detect the Indirect Network Sharing case and identify the specific hosting operator’s network based on this parameter.</w:t>
      </w:r>
    </w:p>
    <w:p w14:paraId="0435BD62">
      <w:pPr>
        <w:pStyle w:val="81"/>
        <w:numPr>
          <w:ilvl w:val="1"/>
          <w:numId w:val="1"/>
        </w:numPr>
        <w:rPr>
          <w:rFonts w:ascii="Times New Roman" w:hAnsi="Times New Roman"/>
          <w:highlight w:val="none"/>
          <w:lang w:val="en-US"/>
        </w:rPr>
      </w:pPr>
      <w:r>
        <w:rPr>
          <w:rFonts w:hint="eastAsia" w:ascii="Times New Roman" w:hAnsi="Times New Roman"/>
          <w:lang w:val="en-US" w:eastAsia="zh-CN"/>
        </w:rPr>
        <w:t xml:space="preserve">Update the description of the parameter </w:t>
      </w:r>
      <w:r>
        <w:rPr>
          <w:rFonts w:hint="default" w:ascii="Times New Roman" w:hAnsi="Times New Roman"/>
          <w:lang w:val="en-US" w:eastAsia="zh-CN"/>
        </w:rPr>
        <w:t>“disaster-roaming-ind”</w:t>
      </w:r>
      <w:r>
        <w:rPr>
          <w:rFonts w:hint="eastAsia" w:ascii="Times New Roman" w:hAnsi="Times New Roman"/>
          <w:lang w:val="en-US" w:eastAsia="zh-CN"/>
        </w:rPr>
        <w:t xml:space="preserve"> </w:t>
      </w:r>
      <w:r>
        <w:rPr>
          <w:rFonts w:hint="eastAsia" w:ascii="Times New Roman" w:hAnsi="Times New Roman"/>
          <w:highlight w:val="none"/>
          <w:lang w:val="en-US" w:eastAsia="zh-CN"/>
        </w:rPr>
        <w:t xml:space="preserve">in the Nudm_SubscriberDataManagement Service </w:t>
      </w:r>
      <w:r>
        <w:rPr>
          <w:rFonts w:hint="eastAsia" w:ascii="Times New Roman" w:hAnsi="Times New Roman"/>
          <w:lang w:val="en-US" w:eastAsia="zh-CN"/>
        </w:rPr>
        <w:t>considering the Indirect Network Sharing for Disaster Condition</w:t>
      </w:r>
      <w:r>
        <w:rPr>
          <w:rFonts w:hint="eastAsia" w:ascii="Times New Roman" w:hAnsi="Times New Roman"/>
          <w:highlight w:val="none"/>
          <w:lang w:val="en-US" w:eastAsia="zh-CN"/>
        </w:rPr>
        <w:t xml:space="preserve">. </w:t>
      </w:r>
      <w:r>
        <w:rPr>
          <w:rFonts w:hint="eastAsia" w:ascii="Times New Roman" w:hAnsi="Times New Roman"/>
          <w:lang w:val="en-US" w:eastAsia="zh-CN"/>
        </w:rPr>
        <w:t xml:space="preserve">Because the existing parameter </w:t>
      </w:r>
      <w:r>
        <w:rPr>
          <w:rFonts w:hint="default" w:ascii="Times New Roman" w:hAnsi="Times New Roman"/>
          <w:lang w:val="en-US" w:eastAsia="zh-CN"/>
        </w:rPr>
        <w:t>“disasterRoamingInd”</w:t>
      </w:r>
      <w:r>
        <w:rPr>
          <w:rFonts w:hint="eastAsia" w:ascii="Times New Roman" w:hAnsi="Times New Roman"/>
          <w:lang w:val="en-US" w:eastAsia="zh-CN"/>
        </w:rPr>
        <w:t xml:space="preserve"> was reused, the description of this parameter should be updated to include the case of Indirect Network Sharing for Disaster Condition, and UDM is able to identify which UE(s) are using the Indirect Network Sharing for Disaster Condition based on the Disaster Roaming service indication and the PLMN ID of the hosting operator.</w:t>
      </w:r>
    </w:p>
    <w:p w14:paraId="113D03F7">
      <w:pPr>
        <w:pStyle w:val="81"/>
        <w:numPr>
          <w:ilvl w:val="0"/>
          <w:numId w:val="1"/>
        </w:numPr>
        <w:rPr>
          <w:rFonts w:ascii="Times New Roman" w:hAnsi="Times New Roman"/>
          <w:highlight w:val="none"/>
          <w:lang w:val="en-US"/>
        </w:rPr>
      </w:pPr>
      <w:r>
        <w:rPr>
          <w:rFonts w:hint="eastAsia" w:ascii="Times New Roman" w:hAnsi="Times New Roman"/>
          <w:b/>
          <w:bCs/>
          <w:highlight w:val="none"/>
          <w:lang w:val="en-US" w:eastAsia="zh-CN"/>
        </w:rPr>
        <w:t>AUSF</w:t>
      </w:r>
      <w:r>
        <w:rPr>
          <w:rFonts w:ascii="Times New Roman" w:hAnsi="Times New Roman"/>
          <w:b/>
          <w:bCs/>
          <w:highlight w:val="none"/>
          <w:lang w:val="en-US"/>
        </w:rPr>
        <w:t xml:space="preserve"> interface</w:t>
      </w:r>
      <w:r>
        <w:rPr>
          <w:rFonts w:ascii="Times New Roman" w:hAnsi="Times New Roman"/>
          <w:highlight w:val="none"/>
          <w:lang w:val="en-US"/>
        </w:rPr>
        <w:t xml:space="preserve">: </w:t>
      </w:r>
    </w:p>
    <w:p w14:paraId="787F9F5B">
      <w:pPr>
        <w:pStyle w:val="81"/>
        <w:numPr>
          <w:ilvl w:val="1"/>
          <w:numId w:val="1"/>
        </w:numPr>
        <w:rPr>
          <w:rFonts w:ascii="Times New Roman" w:hAnsi="Times New Roman"/>
          <w:highlight w:val="none"/>
          <w:lang w:val="en-US" w:eastAsia="zh-CN"/>
        </w:rPr>
      </w:pPr>
      <w:r>
        <w:rPr>
          <w:rFonts w:hint="eastAsia" w:ascii="Times New Roman" w:hAnsi="Times New Roman"/>
          <w:highlight w:val="none"/>
          <w:lang w:val="en-US" w:eastAsia="zh-CN"/>
        </w:rPr>
        <w:t xml:space="preserve">Clarify the description of the parameter </w:t>
      </w:r>
      <w:r>
        <w:rPr>
          <w:rFonts w:hint="default" w:ascii="Times New Roman" w:hAnsi="Times New Roman"/>
          <w:highlight w:val="none"/>
          <w:lang w:val="en-US" w:eastAsia="zh-CN"/>
        </w:rPr>
        <w:t>“disasterRoamingInd”</w:t>
      </w:r>
      <w:r>
        <w:rPr>
          <w:rFonts w:hint="eastAsia" w:ascii="Times New Roman" w:hAnsi="Times New Roman"/>
          <w:highlight w:val="none"/>
          <w:lang w:val="en-US" w:eastAsia="zh-CN"/>
        </w:rPr>
        <w:t xml:space="preserve"> in the Nausf_UEAuthentication Service </w:t>
      </w:r>
      <w:r>
        <w:rPr>
          <w:rFonts w:hint="eastAsia" w:ascii="Times New Roman" w:hAnsi="Times New Roman"/>
          <w:lang w:val="en-US" w:eastAsia="zh-CN"/>
        </w:rPr>
        <w:t xml:space="preserve">considering the Indirect Network Sharing for Disaster Condition. Because the existing parameter </w:t>
      </w:r>
      <w:r>
        <w:rPr>
          <w:rFonts w:hint="default" w:ascii="Times New Roman" w:hAnsi="Times New Roman"/>
          <w:lang w:val="en-US" w:eastAsia="zh-CN"/>
        </w:rPr>
        <w:t>“disasterRoamingInd”</w:t>
      </w:r>
      <w:r>
        <w:rPr>
          <w:rFonts w:hint="eastAsia" w:ascii="Times New Roman" w:hAnsi="Times New Roman"/>
          <w:lang w:val="en-US" w:eastAsia="zh-CN"/>
        </w:rPr>
        <w:t xml:space="preserve"> was reused, the description of this parameter should be updated to include the case of Indirect Network Sharing for Disaster Condition, but there is no impact on the UE authentication procedure.</w:t>
      </w:r>
    </w:p>
    <w:p w14:paraId="5A6F2C23">
      <w:pPr>
        <w:pStyle w:val="81"/>
        <w:rPr>
          <w:rFonts w:ascii="Times New Roman" w:hAnsi="Times New Roman"/>
          <w:lang w:val="en-US" w:eastAsia="zh-CN"/>
        </w:rPr>
      </w:pPr>
    </w:p>
    <w:bookmarkEnd w:id="2"/>
    <w:p w14:paraId="3C135EA9">
      <w:pPr>
        <w:pStyle w:val="81"/>
        <w:rPr>
          <w:rFonts w:hint="default" w:ascii="Times New Roman" w:hAnsi="Times New Roman"/>
          <w:u w:val="single"/>
          <w:lang w:val="en-US" w:eastAsia="zh-CN"/>
        </w:rPr>
      </w:pPr>
      <w:r>
        <w:rPr>
          <w:rFonts w:hint="eastAsia" w:ascii="Times New Roman" w:hAnsi="Times New Roman"/>
          <w:u w:val="single"/>
          <w:lang w:val="en-US" w:eastAsia="zh-CN"/>
        </w:rPr>
        <w:t>CT4 Potential Impacts:</w:t>
      </w:r>
    </w:p>
    <w:p w14:paraId="7AEB7056">
      <w:pPr>
        <w:pStyle w:val="81"/>
        <w:numPr>
          <w:ilvl w:val="0"/>
          <w:numId w:val="1"/>
        </w:numPr>
        <w:rPr>
          <w:rFonts w:ascii="Times New Roman" w:hAnsi="Times New Roman"/>
          <w:highlight w:val="none"/>
          <w:lang w:val="en-US"/>
        </w:rPr>
      </w:pPr>
      <w:r>
        <w:rPr>
          <w:rFonts w:hint="eastAsia" w:ascii="Times New Roman" w:hAnsi="Times New Roman"/>
          <w:b/>
          <w:bCs/>
          <w:highlight w:val="none"/>
          <w:lang w:val="en-US" w:eastAsia="zh-CN"/>
        </w:rPr>
        <w:t>AMF</w:t>
      </w:r>
      <w:r>
        <w:rPr>
          <w:rFonts w:ascii="Times New Roman" w:hAnsi="Times New Roman"/>
          <w:b/>
          <w:bCs/>
          <w:highlight w:val="none"/>
          <w:lang w:val="en-US"/>
        </w:rPr>
        <w:t xml:space="preserve"> interface</w:t>
      </w:r>
      <w:r>
        <w:rPr>
          <w:rFonts w:ascii="Times New Roman" w:hAnsi="Times New Roman"/>
          <w:highlight w:val="none"/>
          <w:lang w:val="en-US"/>
        </w:rPr>
        <w:t xml:space="preserve">: </w:t>
      </w:r>
    </w:p>
    <w:p w14:paraId="188831C6">
      <w:pPr>
        <w:pStyle w:val="81"/>
        <w:numPr>
          <w:ilvl w:val="1"/>
          <w:numId w:val="1"/>
        </w:numPr>
        <w:rPr>
          <w:rFonts w:ascii="Times New Roman" w:hAnsi="Times New Roman"/>
          <w:highlight w:val="none"/>
          <w:lang w:val="en-US" w:eastAsia="zh-CN"/>
        </w:rPr>
      </w:pPr>
      <w:r>
        <w:rPr>
          <w:rFonts w:hint="eastAsia" w:ascii="Times New Roman" w:hAnsi="Times New Roman"/>
          <w:highlight w:val="none"/>
          <w:lang w:val="en-US" w:eastAsia="zh-CN"/>
        </w:rPr>
        <w:t xml:space="preserve">Potentially update the description of the parameter </w:t>
      </w:r>
      <w:r>
        <w:rPr>
          <w:rFonts w:hint="default" w:ascii="Times New Roman" w:hAnsi="Times New Roman"/>
          <w:highlight w:val="none"/>
          <w:lang w:val="en-US" w:eastAsia="zh-CN"/>
        </w:rPr>
        <w:t>“disasterRoamingInd”</w:t>
      </w:r>
      <w:r>
        <w:rPr>
          <w:rFonts w:hint="eastAsia" w:ascii="Times New Roman" w:hAnsi="Times New Roman"/>
          <w:highlight w:val="none"/>
          <w:lang w:val="en-US" w:eastAsia="zh-CN"/>
        </w:rPr>
        <w:t xml:space="preserve"> in the Namf_Communication Service </w:t>
      </w:r>
      <w:r>
        <w:rPr>
          <w:rFonts w:hint="eastAsia" w:ascii="Times New Roman" w:hAnsi="Times New Roman"/>
          <w:lang w:val="en-US" w:eastAsia="zh-CN"/>
        </w:rPr>
        <w:t>considering the Indirect Network Sharing for Disaster Condition</w:t>
      </w:r>
      <w:r>
        <w:rPr>
          <w:rFonts w:hint="eastAsia" w:ascii="Times New Roman" w:hAnsi="Times New Roman"/>
          <w:highlight w:val="none"/>
          <w:lang w:val="en-US" w:eastAsia="zh-CN"/>
        </w:rPr>
        <w:t xml:space="preserve">. The parameter </w:t>
      </w:r>
      <w:r>
        <w:rPr>
          <w:rFonts w:hint="default" w:ascii="Times New Roman" w:hAnsi="Times New Roman"/>
          <w:highlight w:val="none"/>
          <w:lang w:val="en-US" w:eastAsia="zh-CN"/>
        </w:rPr>
        <w:t>“disasterRoamingInd”</w:t>
      </w:r>
      <w:r>
        <w:rPr>
          <w:rFonts w:hint="eastAsia" w:ascii="Times New Roman" w:hAnsi="Times New Roman"/>
          <w:highlight w:val="none"/>
          <w:lang w:val="en-US" w:eastAsia="zh-CN"/>
        </w:rPr>
        <w:t xml:space="preserve"> in the UE context should be updated to </w:t>
      </w:r>
      <w:r>
        <w:rPr>
          <w:rFonts w:hint="eastAsia" w:ascii="Times New Roman" w:hAnsi="Times New Roman"/>
          <w:lang w:val="en-US" w:eastAsia="zh-CN"/>
        </w:rPr>
        <w:t>include the case of Indirect Network Sharing for Disaster Condition.</w:t>
      </w:r>
    </w:p>
    <w:p w14:paraId="10F1EE29">
      <w:pPr>
        <w:pStyle w:val="81"/>
        <w:rPr>
          <w:rFonts w:ascii="Times New Roman" w:hAnsi="Times New Roman"/>
          <w:lang w:val="en-US" w:eastAsia="zh-CN"/>
        </w:rPr>
      </w:pPr>
    </w:p>
    <w:p w14:paraId="40A9A9A2">
      <w:pPr>
        <w:pStyle w:val="81"/>
        <w:rPr>
          <w:rFonts w:ascii="Times New Roman" w:hAnsi="Times New Roman"/>
          <w:lang w:val="en-US"/>
        </w:rPr>
      </w:pPr>
      <w:r>
        <w:rPr>
          <w:rFonts w:ascii="Times New Roman" w:hAnsi="Times New Roman"/>
          <w:lang w:val="en-US"/>
        </w:rPr>
        <w:t xml:space="preserve">As the main API changes are on </w:t>
      </w:r>
      <w:r>
        <w:rPr>
          <w:rFonts w:hint="eastAsia" w:ascii="Times New Roman" w:hAnsi="Times New Roman"/>
          <w:lang w:val="en-US" w:eastAsia="zh-CN"/>
        </w:rPr>
        <w:t>CT4</w:t>
      </w:r>
      <w:r>
        <w:rPr>
          <w:rFonts w:ascii="Times New Roman" w:hAnsi="Times New Roman"/>
          <w:lang w:val="en-US"/>
        </w:rPr>
        <w:t xml:space="preserve"> specifications, it is recommended CT4 as the leading WG for the WID CT Aspects of TEI</w:t>
      </w:r>
      <w:r>
        <w:rPr>
          <w:rFonts w:hint="eastAsia" w:ascii="Times New Roman" w:hAnsi="Times New Roman"/>
          <w:lang w:val="en-US" w:eastAsia="zh-CN"/>
        </w:rPr>
        <w:t>20_NetShare_ph2</w:t>
      </w:r>
      <w:r>
        <w:rPr>
          <w:rFonts w:ascii="Times New Roman" w:hAnsi="Times New Roman"/>
          <w:lang w:val="en-US"/>
        </w:rPr>
        <w:t>.</w:t>
      </w:r>
    </w:p>
    <w:p w14:paraId="39796612">
      <w:pPr>
        <w:pStyle w:val="81"/>
        <w:rPr>
          <w:rFonts w:ascii="Times New Roman" w:hAnsi="Times New Roman"/>
          <w:lang w:val="en-US"/>
        </w:rPr>
      </w:pPr>
    </w:p>
    <w:p w14:paraId="3D17A665">
      <w:pPr>
        <w:pStyle w:val="81"/>
        <w:rPr>
          <w:b/>
          <w:lang w:val="en-US"/>
        </w:rPr>
      </w:pPr>
      <w:r>
        <w:rPr>
          <w:b/>
          <w:lang w:val="en-US"/>
        </w:rPr>
        <w:t>3. Proposal</w:t>
      </w:r>
    </w:p>
    <w:p w14:paraId="4F574AD4">
      <w:pPr>
        <w:rPr>
          <w:lang w:val="en-US"/>
        </w:rPr>
      </w:pPr>
      <w:r>
        <w:rPr>
          <w:lang w:val="en-US"/>
        </w:rPr>
        <w:t xml:space="preserve">It is proposed to discuss the CT implications identified above and recommend for CT4 as leading WG in new CT WID in </w:t>
      </w:r>
      <w:bookmarkStart w:id="4" w:name="_Hlk174090036"/>
      <w:r>
        <w:rPr>
          <w:lang w:val="en-US"/>
        </w:rPr>
        <w:t>C4-2</w:t>
      </w:r>
      <w:r>
        <w:rPr>
          <w:rFonts w:hint="eastAsia"/>
          <w:lang w:val="en-US" w:eastAsia="zh-CN"/>
        </w:rPr>
        <w:t>60013</w:t>
      </w:r>
      <w:r>
        <w:rPr>
          <w:lang w:val="en-US"/>
        </w:rPr>
        <w:t>/C</w:t>
      </w:r>
      <w:r>
        <w:rPr>
          <w:rFonts w:hint="eastAsia"/>
          <w:lang w:val="en-US" w:eastAsia="zh-CN"/>
        </w:rPr>
        <w:t>3</w:t>
      </w:r>
      <w:r>
        <w:rPr>
          <w:lang w:val="en-US"/>
        </w:rPr>
        <w:t>-2</w:t>
      </w:r>
      <w:bookmarkEnd w:id="4"/>
      <w:r>
        <w:rPr>
          <w:rFonts w:hint="eastAsia"/>
          <w:lang w:val="en-US" w:eastAsia="zh-CN"/>
        </w:rPr>
        <w:t>60021</w:t>
      </w:r>
      <w:bookmarkStart w:id="5" w:name="_GoBack"/>
      <w:bookmarkEnd w:id="5"/>
      <w:r>
        <w:rPr>
          <w:lang w:val="en-US"/>
        </w:rPr>
        <w:t>.</w:t>
      </w:r>
    </w:p>
    <w:p w14:paraId="2D606404">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88F78">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B460AC"/>
    <w:multiLevelType w:val="multilevel"/>
    <w:tmpl w:val="06B460AC"/>
    <w:lvl w:ilvl="0" w:tentative="0">
      <w:start w:val="3"/>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8"/>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91"/>
    <w:rsid w:val="00016350"/>
    <w:rsid w:val="000169DA"/>
    <w:rsid w:val="00021F2F"/>
    <w:rsid w:val="000226C7"/>
    <w:rsid w:val="00022E4A"/>
    <w:rsid w:val="00023463"/>
    <w:rsid w:val="00027630"/>
    <w:rsid w:val="00031B15"/>
    <w:rsid w:val="00032D56"/>
    <w:rsid w:val="0003711D"/>
    <w:rsid w:val="00043E25"/>
    <w:rsid w:val="0004575F"/>
    <w:rsid w:val="000542D8"/>
    <w:rsid w:val="00062124"/>
    <w:rsid w:val="0006303C"/>
    <w:rsid w:val="00066856"/>
    <w:rsid w:val="00067843"/>
    <w:rsid w:val="00070F86"/>
    <w:rsid w:val="00072AAF"/>
    <w:rsid w:val="00072DD2"/>
    <w:rsid w:val="00092900"/>
    <w:rsid w:val="00095A16"/>
    <w:rsid w:val="000B0C82"/>
    <w:rsid w:val="000B1216"/>
    <w:rsid w:val="000B14A6"/>
    <w:rsid w:val="000B2BDC"/>
    <w:rsid w:val="000B5CCE"/>
    <w:rsid w:val="000C4809"/>
    <w:rsid w:val="000C5540"/>
    <w:rsid w:val="000C6598"/>
    <w:rsid w:val="000D0D7D"/>
    <w:rsid w:val="000D21C2"/>
    <w:rsid w:val="000D759A"/>
    <w:rsid w:val="000F2C43"/>
    <w:rsid w:val="000F68C5"/>
    <w:rsid w:val="00116BDF"/>
    <w:rsid w:val="001211BF"/>
    <w:rsid w:val="00122FB8"/>
    <w:rsid w:val="00130F69"/>
    <w:rsid w:val="001323A4"/>
    <w:rsid w:val="0013241F"/>
    <w:rsid w:val="001337ED"/>
    <w:rsid w:val="00142F65"/>
    <w:rsid w:val="00143552"/>
    <w:rsid w:val="00147F4C"/>
    <w:rsid w:val="001568BB"/>
    <w:rsid w:val="00160A85"/>
    <w:rsid w:val="00163CE6"/>
    <w:rsid w:val="00166971"/>
    <w:rsid w:val="001743B0"/>
    <w:rsid w:val="001754A1"/>
    <w:rsid w:val="00180871"/>
    <w:rsid w:val="00181789"/>
    <w:rsid w:val="00183134"/>
    <w:rsid w:val="00191E6B"/>
    <w:rsid w:val="001924F6"/>
    <w:rsid w:val="001B5C2B"/>
    <w:rsid w:val="001B77E2"/>
    <w:rsid w:val="001C0967"/>
    <w:rsid w:val="001C2B98"/>
    <w:rsid w:val="001D25E6"/>
    <w:rsid w:val="001D4C82"/>
    <w:rsid w:val="001E2EB5"/>
    <w:rsid w:val="001E41F3"/>
    <w:rsid w:val="001F151F"/>
    <w:rsid w:val="001F3B42"/>
    <w:rsid w:val="001F6423"/>
    <w:rsid w:val="00211AA4"/>
    <w:rsid w:val="00212096"/>
    <w:rsid w:val="002153AE"/>
    <w:rsid w:val="00216490"/>
    <w:rsid w:val="002222EB"/>
    <w:rsid w:val="00223FCF"/>
    <w:rsid w:val="00231568"/>
    <w:rsid w:val="00232FD1"/>
    <w:rsid w:val="00235D13"/>
    <w:rsid w:val="00241597"/>
    <w:rsid w:val="00244729"/>
    <w:rsid w:val="00245648"/>
    <w:rsid w:val="0024668B"/>
    <w:rsid w:val="002524BE"/>
    <w:rsid w:val="00260861"/>
    <w:rsid w:val="00275D12"/>
    <w:rsid w:val="0027780F"/>
    <w:rsid w:val="00282567"/>
    <w:rsid w:val="00285707"/>
    <w:rsid w:val="0029235C"/>
    <w:rsid w:val="00294B73"/>
    <w:rsid w:val="002A260E"/>
    <w:rsid w:val="002A4FA0"/>
    <w:rsid w:val="002A6BBA"/>
    <w:rsid w:val="002B1A87"/>
    <w:rsid w:val="002C3607"/>
    <w:rsid w:val="002C464D"/>
    <w:rsid w:val="002D0822"/>
    <w:rsid w:val="002E3766"/>
    <w:rsid w:val="002E48BE"/>
    <w:rsid w:val="002E6115"/>
    <w:rsid w:val="002F4FF2"/>
    <w:rsid w:val="002F6340"/>
    <w:rsid w:val="0030147E"/>
    <w:rsid w:val="00305C60"/>
    <w:rsid w:val="00312933"/>
    <w:rsid w:val="00315BD4"/>
    <w:rsid w:val="0032244B"/>
    <w:rsid w:val="00322CC3"/>
    <w:rsid w:val="00324E79"/>
    <w:rsid w:val="00330643"/>
    <w:rsid w:val="00337E5E"/>
    <w:rsid w:val="0034757D"/>
    <w:rsid w:val="00350012"/>
    <w:rsid w:val="003509FF"/>
    <w:rsid w:val="00350A91"/>
    <w:rsid w:val="00351581"/>
    <w:rsid w:val="003554E8"/>
    <w:rsid w:val="003617F4"/>
    <w:rsid w:val="003658C8"/>
    <w:rsid w:val="00370766"/>
    <w:rsid w:val="00371954"/>
    <w:rsid w:val="0037709A"/>
    <w:rsid w:val="00382B4A"/>
    <w:rsid w:val="0039050F"/>
    <w:rsid w:val="003934B5"/>
    <w:rsid w:val="00394E81"/>
    <w:rsid w:val="0039744E"/>
    <w:rsid w:val="003A59CB"/>
    <w:rsid w:val="003A63D8"/>
    <w:rsid w:val="003B2CE5"/>
    <w:rsid w:val="003B79F5"/>
    <w:rsid w:val="003D52E6"/>
    <w:rsid w:val="003E29EF"/>
    <w:rsid w:val="003E2CBC"/>
    <w:rsid w:val="003E3661"/>
    <w:rsid w:val="003E736F"/>
    <w:rsid w:val="00411094"/>
    <w:rsid w:val="00411A2C"/>
    <w:rsid w:val="0041238E"/>
    <w:rsid w:val="00413493"/>
    <w:rsid w:val="00415B99"/>
    <w:rsid w:val="0042088E"/>
    <w:rsid w:val="00422910"/>
    <w:rsid w:val="0042734E"/>
    <w:rsid w:val="00435765"/>
    <w:rsid w:val="00435799"/>
    <w:rsid w:val="004365D2"/>
    <w:rsid w:val="00436BAB"/>
    <w:rsid w:val="00440825"/>
    <w:rsid w:val="00443403"/>
    <w:rsid w:val="0044596C"/>
    <w:rsid w:val="00451EC4"/>
    <w:rsid w:val="004652F0"/>
    <w:rsid w:val="00467674"/>
    <w:rsid w:val="00467820"/>
    <w:rsid w:val="00471DDF"/>
    <w:rsid w:val="00472758"/>
    <w:rsid w:val="00474D4E"/>
    <w:rsid w:val="00485B38"/>
    <w:rsid w:val="0049001A"/>
    <w:rsid w:val="004956C2"/>
    <w:rsid w:val="00497F14"/>
    <w:rsid w:val="004A4BEC"/>
    <w:rsid w:val="004A5019"/>
    <w:rsid w:val="004B45A4"/>
    <w:rsid w:val="004C40AE"/>
    <w:rsid w:val="004C60E8"/>
    <w:rsid w:val="004C6465"/>
    <w:rsid w:val="004C6A28"/>
    <w:rsid w:val="004C7171"/>
    <w:rsid w:val="004D077E"/>
    <w:rsid w:val="004D652B"/>
    <w:rsid w:val="004E1CE7"/>
    <w:rsid w:val="004E6150"/>
    <w:rsid w:val="004F1C01"/>
    <w:rsid w:val="004F5B0E"/>
    <w:rsid w:val="00502773"/>
    <w:rsid w:val="00503A4C"/>
    <w:rsid w:val="0050780D"/>
    <w:rsid w:val="00511527"/>
    <w:rsid w:val="0051277C"/>
    <w:rsid w:val="00515E60"/>
    <w:rsid w:val="005236AF"/>
    <w:rsid w:val="005253DA"/>
    <w:rsid w:val="005275CB"/>
    <w:rsid w:val="00537E49"/>
    <w:rsid w:val="0054371B"/>
    <w:rsid w:val="0054453D"/>
    <w:rsid w:val="005455B2"/>
    <w:rsid w:val="0055796A"/>
    <w:rsid w:val="00561C78"/>
    <w:rsid w:val="00563EFE"/>
    <w:rsid w:val="005651FD"/>
    <w:rsid w:val="00571364"/>
    <w:rsid w:val="0058345A"/>
    <w:rsid w:val="005900B8"/>
    <w:rsid w:val="00592829"/>
    <w:rsid w:val="0059653F"/>
    <w:rsid w:val="00597BF4"/>
    <w:rsid w:val="005A6150"/>
    <w:rsid w:val="005A634D"/>
    <w:rsid w:val="005B25F0"/>
    <w:rsid w:val="005C11F0"/>
    <w:rsid w:val="005C1892"/>
    <w:rsid w:val="005D2501"/>
    <w:rsid w:val="005D29F2"/>
    <w:rsid w:val="005D5F6C"/>
    <w:rsid w:val="005D7121"/>
    <w:rsid w:val="005E0DEA"/>
    <w:rsid w:val="005E2C44"/>
    <w:rsid w:val="005F7C74"/>
    <w:rsid w:val="0060287A"/>
    <w:rsid w:val="00603FCA"/>
    <w:rsid w:val="00606094"/>
    <w:rsid w:val="006077A3"/>
    <w:rsid w:val="0061048B"/>
    <w:rsid w:val="0061207F"/>
    <w:rsid w:val="00612AF0"/>
    <w:rsid w:val="006401F6"/>
    <w:rsid w:val="00643317"/>
    <w:rsid w:val="006527F7"/>
    <w:rsid w:val="00661116"/>
    <w:rsid w:val="00672AD2"/>
    <w:rsid w:val="00673FFE"/>
    <w:rsid w:val="00681E58"/>
    <w:rsid w:val="00685DE0"/>
    <w:rsid w:val="006B0EDA"/>
    <w:rsid w:val="006B5418"/>
    <w:rsid w:val="006B5F36"/>
    <w:rsid w:val="006B72E3"/>
    <w:rsid w:val="006B7D13"/>
    <w:rsid w:val="006C36BA"/>
    <w:rsid w:val="006C427B"/>
    <w:rsid w:val="006D6C34"/>
    <w:rsid w:val="006E21FB"/>
    <w:rsid w:val="006E292A"/>
    <w:rsid w:val="00703F5B"/>
    <w:rsid w:val="00710497"/>
    <w:rsid w:val="00710C98"/>
    <w:rsid w:val="00712563"/>
    <w:rsid w:val="00714B2E"/>
    <w:rsid w:val="00717AC5"/>
    <w:rsid w:val="00723C49"/>
    <w:rsid w:val="00727AC1"/>
    <w:rsid w:val="00736DB3"/>
    <w:rsid w:val="0074184E"/>
    <w:rsid w:val="007439B9"/>
    <w:rsid w:val="00756542"/>
    <w:rsid w:val="0077538E"/>
    <w:rsid w:val="007760E6"/>
    <w:rsid w:val="00777B05"/>
    <w:rsid w:val="007849CB"/>
    <w:rsid w:val="00791353"/>
    <w:rsid w:val="007938F2"/>
    <w:rsid w:val="00795B12"/>
    <w:rsid w:val="007B1979"/>
    <w:rsid w:val="007B2D30"/>
    <w:rsid w:val="007B4183"/>
    <w:rsid w:val="007B512A"/>
    <w:rsid w:val="007C2097"/>
    <w:rsid w:val="007C2F14"/>
    <w:rsid w:val="007C3F26"/>
    <w:rsid w:val="007C63AF"/>
    <w:rsid w:val="007C7597"/>
    <w:rsid w:val="007E6510"/>
    <w:rsid w:val="00807C79"/>
    <w:rsid w:val="008275AA"/>
    <w:rsid w:val="008302F3"/>
    <w:rsid w:val="008303F9"/>
    <w:rsid w:val="008314C0"/>
    <w:rsid w:val="00835095"/>
    <w:rsid w:val="0084051A"/>
    <w:rsid w:val="008444D0"/>
    <w:rsid w:val="00852011"/>
    <w:rsid w:val="00856A30"/>
    <w:rsid w:val="008672D3"/>
    <w:rsid w:val="00870EE7"/>
    <w:rsid w:val="00875CCA"/>
    <w:rsid w:val="00883B6F"/>
    <w:rsid w:val="008874A8"/>
    <w:rsid w:val="008902BC"/>
    <w:rsid w:val="00893FDB"/>
    <w:rsid w:val="00894008"/>
    <w:rsid w:val="008951CA"/>
    <w:rsid w:val="00895EFA"/>
    <w:rsid w:val="008A0451"/>
    <w:rsid w:val="008A3B86"/>
    <w:rsid w:val="008A574A"/>
    <w:rsid w:val="008A5E86"/>
    <w:rsid w:val="008A5F08"/>
    <w:rsid w:val="008B66AA"/>
    <w:rsid w:val="008B72B0"/>
    <w:rsid w:val="008D357F"/>
    <w:rsid w:val="008E4502"/>
    <w:rsid w:val="008E4659"/>
    <w:rsid w:val="008E650E"/>
    <w:rsid w:val="008E76D5"/>
    <w:rsid w:val="008E7FB6"/>
    <w:rsid w:val="008F686C"/>
    <w:rsid w:val="0090253B"/>
    <w:rsid w:val="00905269"/>
    <w:rsid w:val="00915A10"/>
    <w:rsid w:val="00916604"/>
    <w:rsid w:val="009177BA"/>
    <w:rsid w:val="00917C15"/>
    <w:rsid w:val="00920903"/>
    <w:rsid w:val="00927472"/>
    <w:rsid w:val="0093578B"/>
    <w:rsid w:val="00936D37"/>
    <w:rsid w:val="00943DC1"/>
    <w:rsid w:val="00945CB4"/>
    <w:rsid w:val="00950B34"/>
    <w:rsid w:val="00951EED"/>
    <w:rsid w:val="00955D76"/>
    <w:rsid w:val="009629FD"/>
    <w:rsid w:val="00965D33"/>
    <w:rsid w:val="009767C4"/>
    <w:rsid w:val="00986D55"/>
    <w:rsid w:val="00986FE7"/>
    <w:rsid w:val="00993492"/>
    <w:rsid w:val="009B3291"/>
    <w:rsid w:val="009B734F"/>
    <w:rsid w:val="009C2694"/>
    <w:rsid w:val="009C61B9"/>
    <w:rsid w:val="009E2B02"/>
    <w:rsid w:val="009E3297"/>
    <w:rsid w:val="009E617D"/>
    <w:rsid w:val="009F7C5D"/>
    <w:rsid w:val="00A055C2"/>
    <w:rsid w:val="00A0571E"/>
    <w:rsid w:val="00A07584"/>
    <w:rsid w:val="00A122CA"/>
    <w:rsid w:val="00A140DD"/>
    <w:rsid w:val="00A1541F"/>
    <w:rsid w:val="00A2600A"/>
    <w:rsid w:val="00A2613B"/>
    <w:rsid w:val="00A32441"/>
    <w:rsid w:val="00A3669C"/>
    <w:rsid w:val="00A44971"/>
    <w:rsid w:val="00A46E59"/>
    <w:rsid w:val="00A47E70"/>
    <w:rsid w:val="00A52935"/>
    <w:rsid w:val="00A57136"/>
    <w:rsid w:val="00A60D85"/>
    <w:rsid w:val="00A637EA"/>
    <w:rsid w:val="00A6790A"/>
    <w:rsid w:val="00A67C71"/>
    <w:rsid w:val="00A72DCE"/>
    <w:rsid w:val="00A752C5"/>
    <w:rsid w:val="00A83ECE"/>
    <w:rsid w:val="00A84816"/>
    <w:rsid w:val="00A9104D"/>
    <w:rsid w:val="00A93CBB"/>
    <w:rsid w:val="00A93F9A"/>
    <w:rsid w:val="00AA25B9"/>
    <w:rsid w:val="00AB7B4C"/>
    <w:rsid w:val="00AD0DEA"/>
    <w:rsid w:val="00AD7C25"/>
    <w:rsid w:val="00AD7E36"/>
    <w:rsid w:val="00AE4D95"/>
    <w:rsid w:val="00AF16FA"/>
    <w:rsid w:val="00AF4741"/>
    <w:rsid w:val="00AF6B24"/>
    <w:rsid w:val="00B03597"/>
    <w:rsid w:val="00B0607B"/>
    <w:rsid w:val="00B076C6"/>
    <w:rsid w:val="00B258BB"/>
    <w:rsid w:val="00B264D4"/>
    <w:rsid w:val="00B357DE"/>
    <w:rsid w:val="00B43444"/>
    <w:rsid w:val="00B47938"/>
    <w:rsid w:val="00B57359"/>
    <w:rsid w:val="00B61924"/>
    <w:rsid w:val="00B66361"/>
    <w:rsid w:val="00B66D06"/>
    <w:rsid w:val="00B70D58"/>
    <w:rsid w:val="00B72AC8"/>
    <w:rsid w:val="00B80CC1"/>
    <w:rsid w:val="00B91267"/>
    <w:rsid w:val="00B917AC"/>
    <w:rsid w:val="00B9268B"/>
    <w:rsid w:val="00B92835"/>
    <w:rsid w:val="00B971B7"/>
    <w:rsid w:val="00BA33C8"/>
    <w:rsid w:val="00BA3ACC"/>
    <w:rsid w:val="00BB5DFC"/>
    <w:rsid w:val="00BC0575"/>
    <w:rsid w:val="00BC7C3B"/>
    <w:rsid w:val="00BD0266"/>
    <w:rsid w:val="00BD1EB8"/>
    <w:rsid w:val="00BD279D"/>
    <w:rsid w:val="00BD3B6F"/>
    <w:rsid w:val="00BD62A1"/>
    <w:rsid w:val="00BE4AE1"/>
    <w:rsid w:val="00BE4DF7"/>
    <w:rsid w:val="00BF3228"/>
    <w:rsid w:val="00BF6FD5"/>
    <w:rsid w:val="00C02D45"/>
    <w:rsid w:val="00C0610D"/>
    <w:rsid w:val="00C21836"/>
    <w:rsid w:val="00C27D9B"/>
    <w:rsid w:val="00C27DFD"/>
    <w:rsid w:val="00C31593"/>
    <w:rsid w:val="00C37922"/>
    <w:rsid w:val="00C415C3"/>
    <w:rsid w:val="00C46985"/>
    <w:rsid w:val="00C5228E"/>
    <w:rsid w:val="00C53A31"/>
    <w:rsid w:val="00C713E0"/>
    <w:rsid w:val="00C72FD6"/>
    <w:rsid w:val="00C750E5"/>
    <w:rsid w:val="00C83E4E"/>
    <w:rsid w:val="00C84595"/>
    <w:rsid w:val="00C85AD4"/>
    <w:rsid w:val="00C93E00"/>
    <w:rsid w:val="00C95985"/>
    <w:rsid w:val="00C96EAE"/>
    <w:rsid w:val="00C971BD"/>
    <w:rsid w:val="00C975FD"/>
    <w:rsid w:val="00C9780B"/>
    <w:rsid w:val="00CA15C6"/>
    <w:rsid w:val="00CA2EA4"/>
    <w:rsid w:val="00CA7D10"/>
    <w:rsid w:val="00CB1493"/>
    <w:rsid w:val="00CB747E"/>
    <w:rsid w:val="00CC5026"/>
    <w:rsid w:val="00CD2478"/>
    <w:rsid w:val="00CD27AD"/>
    <w:rsid w:val="00CD3B87"/>
    <w:rsid w:val="00CD541D"/>
    <w:rsid w:val="00CD78EA"/>
    <w:rsid w:val="00CE22D1"/>
    <w:rsid w:val="00CE3C13"/>
    <w:rsid w:val="00CE4346"/>
    <w:rsid w:val="00CF0EE8"/>
    <w:rsid w:val="00CF39F5"/>
    <w:rsid w:val="00CF7E8B"/>
    <w:rsid w:val="00D11584"/>
    <w:rsid w:val="00D12FF1"/>
    <w:rsid w:val="00D20DD0"/>
    <w:rsid w:val="00D23FC4"/>
    <w:rsid w:val="00D46BDD"/>
    <w:rsid w:val="00D50661"/>
    <w:rsid w:val="00D51C49"/>
    <w:rsid w:val="00D53945"/>
    <w:rsid w:val="00D53BE5"/>
    <w:rsid w:val="00D618A9"/>
    <w:rsid w:val="00D619C8"/>
    <w:rsid w:val="00D62E67"/>
    <w:rsid w:val="00D641A9"/>
    <w:rsid w:val="00D75146"/>
    <w:rsid w:val="00D908E8"/>
    <w:rsid w:val="00D92585"/>
    <w:rsid w:val="00D96DA1"/>
    <w:rsid w:val="00DA0324"/>
    <w:rsid w:val="00DA5237"/>
    <w:rsid w:val="00DB1A13"/>
    <w:rsid w:val="00DB72BB"/>
    <w:rsid w:val="00DC2EEA"/>
    <w:rsid w:val="00DD2C06"/>
    <w:rsid w:val="00DD639A"/>
    <w:rsid w:val="00E015DE"/>
    <w:rsid w:val="00E12C0C"/>
    <w:rsid w:val="00E13855"/>
    <w:rsid w:val="00E13A29"/>
    <w:rsid w:val="00E159F8"/>
    <w:rsid w:val="00E20354"/>
    <w:rsid w:val="00E21ED4"/>
    <w:rsid w:val="00E21F81"/>
    <w:rsid w:val="00E23A56"/>
    <w:rsid w:val="00E24619"/>
    <w:rsid w:val="00E4306D"/>
    <w:rsid w:val="00E65E8A"/>
    <w:rsid w:val="00E670C5"/>
    <w:rsid w:val="00E72142"/>
    <w:rsid w:val="00E80273"/>
    <w:rsid w:val="00E811D7"/>
    <w:rsid w:val="00E90A16"/>
    <w:rsid w:val="00E92207"/>
    <w:rsid w:val="00E924C6"/>
    <w:rsid w:val="00E9497F"/>
    <w:rsid w:val="00E96AA6"/>
    <w:rsid w:val="00EA15FE"/>
    <w:rsid w:val="00EA1B8A"/>
    <w:rsid w:val="00EA3B98"/>
    <w:rsid w:val="00EA76BB"/>
    <w:rsid w:val="00EB1636"/>
    <w:rsid w:val="00EB34CE"/>
    <w:rsid w:val="00EB3FE7"/>
    <w:rsid w:val="00EB6768"/>
    <w:rsid w:val="00EC03D0"/>
    <w:rsid w:val="00EC11EB"/>
    <w:rsid w:val="00EC5431"/>
    <w:rsid w:val="00ED34E3"/>
    <w:rsid w:val="00ED3D47"/>
    <w:rsid w:val="00EE225C"/>
    <w:rsid w:val="00EE6A83"/>
    <w:rsid w:val="00EE7D7C"/>
    <w:rsid w:val="00EE7FCF"/>
    <w:rsid w:val="00EF44FB"/>
    <w:rsid w:val="00F00BCC"/>
    <w:rsid w:val="00F02E5B"/>
    <w:rsid w:val="00F1278B"/>
    <w:rsid w:val="00F21864"/>
    <w:rsid w:val="00F21CC1"/>
    <w:rsid w:val="00F25D98"/>
    <w:rsid w:val="00F26950"/>
    <w:rsid w:val="00F300FB"/>
    <w:rsid w:val="00F34816"/>
    <w:rsid w:val="00F432E2"/>
    <w:rsid w:val="00F468D4"/>
    <w:rsid w:val="00F54A55"/>
    <w:rsid w:val="00F602D8"/>
    <w:rsid w:val="00F71A8C"/>
    <w:rsid w:val="00F7680F"/>
    <w:rsid w:val="00F76A50"/>
    <w:rsid w:val="00F82D8A"/>
    <w:rsid w:val="00F831EE"/>
    <w:rsid w:val="00F86788"/>
    <w:rsid w:val="00F8792E"/>
    <w:rsid w:val="00F92882"/>
    <w:rsid w:val="00FA0150"/>
    <w:rsid w:val="00FB6386"/>
    <w:rsid w:val="00FC26D7"/>
    <w:rsid w:val="00FC3B49"/>
    <w:rsid w:val="00FC4B4B"/>
    <w:rsid w:val="00FC6BF7"/>
    <w:rsid w:val="00FD09BA"/>
    <w:rsid w:val="00FD0C4D"/>
    <w:rsid w:val="00FD44EB"/>
    <w:rsid w:val="00FD7944"/>
    <w:rsid w:val="00FE1C07"/>
    <w:rsid w:val="00FE2F5E"/>
    <w:rsid w:val="00FE6C48"/>
    <w:rsid w:val="00FF6434"/>
    <w:rsid w:val="09050782"/>
    <w:rsid w:val="18DD0B01"/>
    <w:rsid w:val="35C044B3"/>
    <w:rsid w:val="5435452F"/>
    <w:rsid w:val="65E001FF"/>
    <w:rsid w:val="6EB173B5"/>
    <w:rsid w:val="767028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7"/>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uiPriority w:val="0"/>
    <w:pPr>
      <w:spacing w:after="0"/>
    </w:pPr>
  </w:style>
  <w:style w:type="paragraph" w:customStyle="1" w:styleId="60">
    <w:name w:val="NW"/>
    <w:basedOn w:val="57"/>
    <w:uiPriority w:val="0"/>
    <w:pPr>
      <w:spacing w:after="0"/>
    </w:pPr>
  </w:style>
  <w:style w:type="paragraph" w:customStyle="1" w:styleId="61">
    <w:name w:val="EW"/>
    <w:basedOn w:val="58"/>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7"/>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4"/>
    <w:uiPriority w:val="0"/>
    <w:pPr>
      <w:jc w:val="right"/>
    </w:pPr>
  </w:style>
  <w:style w:type="paragraph" w:customStyle="1" w:styleId="66">
    <w:name w:val="TAN"/>
    <w:basedOn w:val="54"/>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7"/>
    <w:uiPriority w:val="0"/>
    <w:rPr>
      <w:color w:val="FF0000"/>
    </w:rPr>
  </w:style>
  <w:style w:type="paragraph" w:customStyle="1" w:styleId="75">
    <w:name w:val="B1"/>
    <w:basedOn w:val="14"/>
    <w:link w:val="88"/>
    <w:uiPriority w:val="0"/>
  </w:style>
  <w:style w:type="paragraph" w:customStyle="1" w:styleId="76">
    <w:name w:val="B2"/>
    <w:basedOn w:val="13"/>
    <w:link w:val="89"/>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TH Char"/>
    <w:link w:val="56"/>
    <w:locked/>
    <w:uiPriority w:val="0"/>
    <w:rPr>
      <w:rFonts w:ascii="Arial" w:hAnsi="Arial"/>
      <w:b/>
      <w:lang w:val="en-GB" w:eastAsia="en-US" w:bidi="ar-SA"/>
    </w:rPr>
  </w:style>
  <w:style w:type="character" w:customStyle="1" w:styleId="84">
    <w:name w:val="TAL Char"/>
    <w:link w:val="54"/>
    <w:uiPriority w:val="0"/>
    <w:rPr>
      <w:rFonts w:ascii="Arial" w:hAnsi="Arial"/>
      <w:sz w:val="18"/>
      <w:lang w:val="en-GB" w:eastAsia="en-US" w:bidi="ar-SA"/>
    </w:rPr>
  </w:style>
  <w:style w:type="character" w:customStyle="1" w:styleId="85">
    <w:name w:val="TAC Char"/>
    <w:link w:val="53"/>
    <w:uiPriority w:val="0"/>
    <w:rPr>
      <w:rFonts w:ascii="Arial" w:hAnsi="Arial"/>
      <w:sz w:val="18"/>
      <w:lang w:val="en-GB" w:eastAsia="en-US" w:bidi="ar-SA"/>
    </w:rPr>
  </w:style>
  <w:style w:type="character" w:customStyle="1" w:styleId="86">
    <w:name w:val="TAH Char"/>
    <w:link w:val="52"/>
    <w:uiPriority w:val="0"/>
    <w:rPr>
      <w:rFonts w:ascii="Arial" w:hAnsi="Arial"/>
      <w:b/>
      <w:sz w:val="18"/>
      <w:lang w:val="en-GB" w:eastAsia="en-US" w:bidi="ar-SA"/>
    </w:rPr>
  </w:style>
  <w:style w:type="character" w:customStyle="1" w:styleId="87">
    <w:name w:val="页眉 字符"/>
    <w:link w:val="34"/>
    <w:uiPriority w:val="0"/>
    <w:rPr>
      <w:rFonts w:ascii="Arial" w:hAnsi="Arial"/>
      <w:b/>
      <w:sz w:val="18"/>
      <w:lang w:eastAsia="en-US"/>
    </w:rPr>
  </w:style>
  <w:style w:type="character" w:customStyle="1" w:styleId="88">
    <w:name w:val="B1 Char"/>
    <w:link w:val="75"/>
    <w:qFormat/>
    <w:locked/>
    <w:uiPriority w:val="0"/>
    <w:rPr>
      <w:rFonts w:ascii="Times New Roman" w:hAnsi="Times New Roman"/>
      <w:lang w:eastAsia="en-US"/>
    </w:rPr>
  </w:style>
  <w:style w:type="character" w:customStyle="1" w:styleId="89">
    <w:name w:val="B2 Char"/>
    <w:link w:val="76"/>
    <w:qFormat/>
    <w:uiPriority w:val="0"/>
    <w:rPr>
      <w:rFonts w:ascii="Times New Roman" w:hAnsi="Times New Roman"/>
      <w:lang w:eastAsia="en-US"/>
    </w:rPr>
  </w:style>
  <w:style w:type="paragraph" w:customStyle="1" w:styleId="90">
    <w:name w:val="Guidance"/>
    <w:basedOn w:val="1"/>
    <w:uiPriority w:val="0"/>
    <w:pPr>
      <w:overflowPunct w:val="0"/>
      <w:autoSpaceDE w:val="0"/>
      <w:autoSpaceDN w:val="0"/>
      <w:adjustRightInd w:val="0"/>
      <w:textAlignment w:val="baseline"/>
    </w:pPr>
    <w:rPr>
      <w:i/>
      <w:color w:val="000000"/>
      <w:lang w:eastAsia="ja-JP"/>
    </w:rPr>
  </w:style>
  <w:style w:type="character" w:customStyle="1" w:styleId="91">
    <w:name w:val="批注文字 字符"/>
    <w:basedOn w:val="44"/>
    <w:link w:val="29"/>
    <w:semiHidden/>
    <w:uiPriority w:val="0"/>
    <w:rPr>
      <w:rFonts w:ascii="Times New Roman" w:hAnsi="Times New Roman"/>
      <w:lang w:eastAsia="en-US"/>
    </w:rPr>
  </w:style>
  <w:style w:type="paragraph" w:styleId="92">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2</Pages>
  <Words>786</Words>
  <Characters>4486</Characters>
  <Lines>37</Lines>
  <Paragraphs>10</Paragraphs>
  <TotalTime>7</TotalTime>
  <ScaleCrop>false</ScaleCrop>
  <LinksUpToDate>false</LinksUpToDate>
  <CharactersWithSpaces>5262</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2024-08-05T02:47:00Z</dcterms:created>
  <dc:creator>Michael Sanders, John M Meredith</dc:creator>
  <cp:lastModifiedBy>CU-Tianqi Xing</cp:lastModifiedBy>
  <cp:lastPrinted>2411-12-31T23:00:00Z</cp:lastPrinted>
  <dcterms:modified xsi:type="dcterms:W3CDTF">2026-01-13T02:41:08Z</dcterms:modified>
  <dc:title>3GPP Change Request</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1676556864</vt:lpwstr>
  </property>
  <property fmtid="{D5CDD505-2E9C-101B-9397-08002B2CF9AE}" pid="7" name="KSOProductBuildVer">
    <vt:lpwstr>2052-12.8.2.21555</vt:lpwstr>
  </property>
  <property fmtid="{D5CDD505-2E9C-101B-9397-08002B2CF9AE}" pid="8" name="ICV">
    <vt:lpwstr>935A8A3002884B5295126433190BCD81_13</vt:lpwstr>
  </property>
</Properties>
</file>